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Gestaltung des Ratsgarten und Sanierung der angrenzenden Stadtmauer; Los 2 - Landschaftsbauarbeiten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